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управлению финансами компании</w:t>
            </w:r>
          </w:p>
          <w:p>
            <w:pPr>
              <w:jc w:val="center"/>
              <w:spacing w:after="0" w:line="240" w:lineRule="auto"/>
              <w:rPr>
                <w:sz w:val="32"/>
                <w:szCs w:val="32"/>
              </w:rPr>
            </w:pPr>
            <w:r>
              <w:rPr>
                <w:rFonts w:ascii="Times New Roman" w:hAnsi="Times New Roman" w:cs="Times New Roman"/>
                <w:color w:val="#000000"/>
                <w:sz w:val="32"/>
                <w:szCs w:val="32"/>
              </w:rPr>
              <w:t> Б1.В.03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управлению финансами компании»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 «Практикум по управлению финансами компании».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управлению финансами компании»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построению интегрированной системы управления рисками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принципы и методы обеспечения устойчивого развития организации и социальной ответственности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национальные и международные стандарты, лучшие практики интегрированного управления рисками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и процедуры совершенствования системы управления рисками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адаптировать теорию и практику риск-менеджмента к условиям конкретной фирмы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владеть навыками адаптации и актуализации системы управления рисками под изменения бизнес-среды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 «Практикум по управлению финансами компании»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38.04.08 Финансы и кредит.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системы в области финансовых вычислений</w:t>
            </w:r>
          </w:p>
          <w:p>
            <w:pPr>
              <w:jc w:val="center"/>
              <w:spacing w:after="0" w:line="240" w:lineRule="auto"/>
              <w:rPr>
                <w:sz w:val="22"/>
                <w:szCs w:val="22"/>
              </w:rPr>
            </w:pPr>
            <w:r>
              <w:rPr>
                <w:rFonts w:ascii="Times New Roman" w:hAnsi="Times New Roman" w:cs="Times New Roman"/>
                <w:color w:val="#000000"/>
                <w:sz w:val="22"/>
                <w:szCs w:val="22"/>
              </w:rPr>
              <w:t> Корпоративная культура</w:t>
            </w:r>
          </w:p>
          <w:p>
            <w:pPr>
              <w:jc w:val="center"/>
              <w:spacing w:after="0" w:line="240" w:lineRule="auto"/>
              <w:rPr>
                <w:sz w:val="22"/>
                <w:szCs w:val="22"/>
              </w:rPr>
            </w:pPr>
            <w:r>
              <w:rPr>
                <w:rFonts w:ascii="Times New Roman" w:hAnsi="Times New Roman" w:cs="Times New Roman"/>
                <w:color w:val="#000000"/>
                <w:sz w:val="22"/>
                <w:szCs w:val="22"/>
              </w:rPr>
              <w:t> Финансовая стабилизация кризисных компаний</w:t>
            </w:r>
          </w:p>
          <w:p>
            <w:pPr>
              <w:jc w:val="center"/>
              <w:spacing w:after="0" w:line="240" w:lineRule="auto"/>
              <w:rPr>
                <w:sz w:val="22"/>
                <w:szCs w:val="22"/>
              </w:rPr>
            </w:pPr>
            <w:r>
              <w:rPr>
                <w:rFonts w:ascii="Times New Roman" w:hAnsi="Times New Roman" w:cs="Times New Roman"/>
                <w:color w:val="#000000"/>
                <w:sz w:val="22"/>
                <w:szCs w:val="22"/>
              </w:rPr>
              <w:t> Финансовые рынки и финансово- кредитные институты</w:t>
            </w:r>
          </w:p>
          <w:p>
            <w:pPr>
              <w:jc w:val="center"/>
              <w:spacing w:after="0" w:line="240" w:lineRule="auto"/>
              <w:rPr>
                <w:sz w:val="22"/>
                <w:szCs w:val="22"/>
              </w:rPr>
            </w:pPr>
            <w:r>
              <w:rPr>
                <w:rFonts w:ascii="Times New Roman" w:hAnsi="Times New Roman" w:cs="Times New Roman"/>
                <w:color w:val="#000000"/>
                <w:sz w:val="22"/>
                <w:szCs w:val="22"/>
              </w:rPr>
              <w:t> Финансовый инжиниринг</w:t>
            </w:r>
          </w:p>
          <w:p>
            <w:pPr>
              <w:jc w:val="center"/>
              <w:spacing w:after="0" w:line="240" w:lineRule="auto"/>
              <w:rPr>
                <w:sz w:val="22"/>
                <w:szCs w:val="22"/>
              </w:rPr>
            </w:pPr>
            <w:r>
              <w:rPr>
                <w:rFonts w:ascii="Times New Roman" w:hAnsi="Times New Roman" w:cs="Times New Roman"/>
                <w:color w:val="#000000"/>
                <w:sz w:val="22"/>
                <w:szCs w:val="22"/>
              </w:rPr>
              <w:t> Анализ и управление инвестициями</w:t>
            </w:r>
          </w:p>
          <w:p>
            <w:pPr>
              <w:jc w:val="center"/>
              <w:spacing w:after="0" w:line="240" w:lineRule="auto"/>
              <w:rPr>
                <w:sz w:val="22"/>
                <w:szCs w:val="22"/>
              </w:rPr>
            </w:pPr>
            <w:r>
              <w:rPr>
                <w:rFonts w:ascii="Times New Roman" w:hAnsi="Times New Roman" w:cs="Times New Roman"/>
                <w:color w:val="#000000"/>
                <w:sz w:val="22"/>
                <w:szCs w:val="22"/>
              </w:rPr>
              <w:t> Инвестиции</w:t>
            </w:r>
          </w:p>
          <w:p>
            <w:pPr>
              <w:jc w:val="center"/>
              <w:spacing w:after="0" w:line="240" w:lineRule="auto"/>
              <w:rPr>
                <w:sz w:val="22"/>
                <w:szCs w:val="22"/>
              </w:rPr>
            </w:pPr>
            <w:r>
              <w:rPr>
                <w:rFonts w:ascii="Times New Roman" w:hAnsi="Times New Roman" w:cs="Times New Roman"/>
                <w:color w:val="#000000"/>
                <w:sz w:val="22"/>
                <w:szCs w:val="22"/>
              </w:rPr>
              <w:t> Международные стандарты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Модуль "Финансовое планирование и инвестиционный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эффективности бизнеса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1. Содержание корпоративных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2.Финансовая политика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3.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4.Государственные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5.Бюджетная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Занятие 10. Проведение "круглого стола" по проблеме управление финансами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1. Содержание корпоративных финансов</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2.Финансовая политика компании</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3. Финансовый рынок</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4.Государственные финансы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5.Бюджетная система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Занятие 10. Проведение "круглого стола" по проблеме управление финансами компании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управлению финансами компании»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комплексная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эффективности</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Пантелеев,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Ларионова,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Костюхин,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Жагловская,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Рожкова,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комплексная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эффективности</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МИСиС,</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978-5-906846-46-4.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http://www.iprbookshop.ru/97910.html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финансово-хозяйственной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Чайковская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Панягина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978-5-4486-0590-1.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http://www.iprbookshop.ru/83260.html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финансовыми</w:t>
            </w:r>
            <w:r>
              <w:rPr/>
              <w:t xml:space="preserve"> </w:t>
            </w:r>
            <w:r>
              <w:rPr>
                <w:rFonts w:ascii="Times New Roman" w:hAnsi="Times New Roman" w:cs="Times New Roman"/>
                <w:color w:val="#000000"/>
                <w:sz w:val="24"/>
                <w:szCs w:val="24"/>
              </w:rPr>
              <w:t>результатами</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Мокропуло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Строгонова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Краснодар,</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978-5-93926-298-9.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http://www.iprbookshop.ru/67215.html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денежными</w:t>
            </w:r>
            <w:r>
              <w:rPr/>
              <w:t xml:space="preserve"> </w:t>
            </w:r>
            <w:r>
              <w:rPr>
                <w:rFonts w:ascii="Times New Roman" w:hAnsi="Times New Roman" w:cs="Times New Roman"/>
                <w:color w:val="#000000"/>
                <w:sz w:val="24"/>
                <w:szCs w:val="24"/>
              </w:rPr>
              <w:t>потоками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Кеменов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денежными</w:t>
            </w:r>
            <w:r>
              <w:rPr/>
              <w:t xml:space="preserve"> </w:t>
            </w:r>
            <w:r>
              <w:rPr>
                <w:rFonts w:ascii="Times New Roman" w:hAnsi="Times New Roman" w:cs="Times New Roman"/>
                <w:color w:val="#000000"/>
                <w:sz w:val="24"/>
                <w:szCs w:val="24"/>
              </w:rPr>
              <w:t>потоками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http://www.iprbookshop.ru/81703.html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денежными</w:t>
            </w:r>
            <w:r>
              <w:rPr/>
              <w:t xml:space="preserve"> </w:t>
            </w:r>
            <w:r>
              <w:rPr>
                <w:rFonts w:ascii="Times New Roman" w:hAnsi="Times New Roman" w:cs="Times New Roman"/>
                <w:color w:val="#000000"/>
                <w:sz w:val="24"/>
                <w:szCs w:val="24"/>
              </w:rPr>
              <w:t>потоками:</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не</w:t>
            </w:r>
            <w:r>
              <w:rPr/>
              <w:t xml:space="preserve"> </w:t>
            </w:r>
            <w:r>
              <w:rPr>
                <w:rFonts w:ascii="Times New Roman" w:hAnsi="Times New Roman" w:cs="Times New Roman"/>
                <w:color w:val="#000000"/>
                <w:sz w:val="24"/>
                <w:szCs w:val="24"/>
              </w:rPr>
              <w:t>оказаться</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мели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Джон</w:t>
            </w:r>
            <w:r>
              <w:rPr/>
              <w:t xml:space="preserve"> </w:t>
            </w:r>
            <w:r>
              <w:rPr>
                <w:rFonts w:ascii="Times New Roman" w:hAnsi="Times New Roman" w:cs="Times New Roman"/>
                <w:color w:val="#000000"/>
                <w:sz w:val="24"/>
                <w:szCs w:val="24"/>
              </w:rPr>
              <w:t>Теннент,</w:t>
            </w:r>
            <w:r>
              <w:rPr/>
              <w:t xml:space="preserve"> </w:t>
            </w:r>
            <w:r>
              <w:rPr>
                <w:rFonts w:ascii="Times New Roman" w:hAnsi="Times New Roman" w:cs="Times New Roman"/>
                <w:color w:val="#000000"/>
                <w:sz w:val="24"/>
                <w:szCs w:val="24"/>
              </w:rPr>
              <w:t>Оверченко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денежными</w:t>
            </w:r>
            <w:r>
              <w:rPr/>
              <w:t xml:space="preserve"> </w:t>
            </w:r>
            <w:r>
              <w:rPr>
                <w:rFonts w:ascii="Times New Roman" w:hAnsi="Times New Roman" w:cs="Times New Roman"/>
                <w:color w:val="#000000"/>
                <w:sz w:val="24"/>
                <w:szCs w:val="24"/>
              </w:rPr>
              <w:t>потоками:</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не</w:t>
            </w:r>
            <w:r>
              <w:rPr/>
              <w:t xml:space="preserve"> </w:t>
            </w:r>
            <w:r>
              <w:rPr>
                <w:rFonts w:ascii="Times New Roman" w:hAnsi="Times New Roman" w:cs="Times New Roman"/>
                <w:color w:val="#000000"/>
                <w:sz w:val="24"/>
                <w:szCs w:val="24"/>
              </w:rPr>
              <w:t>оказаться</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мели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978-5-9614-4646-3.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http://www.iprbookshop.ru/86738.html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210.1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2024-2025_ФГОС3++2024_Маг-ЗФО-ФиК(УФиИ)(24)_plx_Практикум по управлению финансами компании</dc:title>
  <dc:creator>FastReport.NET</dc:creator>
</cp:coreProperties>
</file>